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A9" w:rsidRDefault="00C945A9">
      <w:bookmarkStart w:id="0" w:name="_GoBack"/>
      <w:bookmarkEnd w:id="0"/>
    </w:p>
    <w:p w:rsidR="00FE4E93" w:rsidRDefault="00FE4E93">
      <w:pPr>
        <w:pStyle w:val="Sisennettyleipteksti"/>
        <w:jc w:val="both"/>
      </w:pPr>
    </w:p>
    <w:p w:rsidR="00C945A9" w:rsidRDefault="0050283D">
      <w:pPr>
        <w:pStyle w:val="Sisennettyleipteksti"/>
        <w:jc w:val="both"/>
      </w:pPr>
      <w:r>
        <w:t>Konstitutionsutskottets betänkande 1/2017 om biskopsmötets framställning 3/2016</w:t>
      </w:r>
    </w:p>
    <w:p w:rsidR="0050283D" w:rsidRDefault="0050283D">
      <w:pPr>
        <w:pStyle w:val="Sisennettyleipteksti"/>
        <w:jc w:val="both"/>
      </w:pPr>
    </w:p>
    <w:p w:rsidR="0050283D" w:rsidRDefault="00220548">
      <w:pPr>
        <w:pStyle w:val="Sisennettyleipteksti"/>
        <w:jc w:val="both"/>
      </w:pPr>
      <w:r>
        <w:t>Komplettering av kyrkoordningens 2 kapitel med en bestämmelse om predikomöjlighet för präster från andra kristna kyrkor</w:t>
      </w:r>
    </w:p>
    <w:p w:rsidR="0050283D" w:rsidRDefault="0050283D">
      <w:pPr>
        <w:pStyle w:val="Sisennettyleipteksti"/>
        <w:jc w:val="both"/>
      </w:pPr>
    </w:p>
    <w:p w:rsidR="0050283D" w:rsidRDefault="0050283D" w:rsidP="00A1783E">
      <w:pPr>
        <w:pStyle w:val="Sisennettyleipteksti"/>
        <w:jc w:val="right"/>
        <w:outlineLvl w:val="0"/>
        <w:rPr>
          <w:b w:val="0"/>
        </w:rPr>
      </w:pPr>
      <w:r>
        <w:rPr>
          <w:b w:val="0"/>
        </w:rPr>
        <w:t>Ärendenr D/242/00.08.00/2016</w:t>
      </w:r>
    </w:p>
    <w:p w:rsidR="00235FD3" w:rsidRPr="0050283D" w:rsidRDefault="009A53D4" w:rsidP="0050283D">
      <w:pPr>
        <w:pStyle w:val="Sisennettyleipteksti"/>
        <w:jc w:val="right"/>
        <w:rPr>
          <w:b w:val="0"/>
        </w:rPr>
      </w:pPr>
      <w:r>
        <w:rPr>
          <w:b w:val="0"/>
        </w:rPr>
        <w:t>KK2016-00036</w:t>
      </w:r>
    </w:p>
    <w:p w:rsidR="00C945A9" w:rsidRDefault="00C945A9"/>
    <w:p w:rsidR="00C945A9" w:rsidRDefault="00C945A9"/>
    <w:p w:rsidR="00C945A9" w:rsidRDefault="00C945A9"/>
    <w:p w:rsidR="00C945A9" w:rsidRDefault="00C945A9"/>
    <w:p w:rsidR="00C945A9" w:rsidRDefault="00C945A9"/>
    <w:p w:rsidR="00C945A9" w:rsidRDefault="00220548">
      <w:pPr>
        <w:ind w:left="1304"/>
        <w:jc w:val="both"/>
      </w:pPr>
      <w:r>
        <w:t>Biskopsmötet har lämnat en framställning till k</w:t>
      </w:r>
      <w:r w:rsidR="00DA452F">
        <w:t>yrkomötet om komplettering av 2 </w:t>
      </w:r>
      <w:r>
        <w:t>kap. i kyrkoordningen med en bestämmelse om predikomöjlighet för präster från andra kristna kyrkor. Kyrkomötet har i plenum den 8 november 2016 remitterat ärendet till konstitutionsutskottet.</w:t>
      </w:r>
    </w:p>
    <w:p w:rsidR="0050283D" w:rsidRDefault="0050283D">
      <w:pPr>
        <w:ind w:left="1304"/>
        <w:jc w:val="both"/>
      </w:pPr>
    </w:p>
    <w:p w:rsidR="00C945A9" w:rsidRDefault="00235FD3" w:rsidP="00A1783E">
      <w:pPr>
        <w:pStyle w:val="Mietint-Alaotsikko"/>
        <w:outlineLvl w:val="0"/>
      </w:pPr>
      <w:r>
        <w:t>Bakgrunden till framställningen</w:t>
      </w:r>
    </w:p>
    <w:p w:rsidR="002C0B86" w:rsidRDefault="002C0B86">
      <w:pPr>
        <w:pStyle w:val="Mietint-Alaotsikko"/>
      </w:pPr>
    </w:p>
    <w:p w:rsidR="009A53D4" w:rsidRDefault="002C0B86" w:rsidP="002C0B86">
      <w:pPr>
        <w:ind w:left="1304"/>
        <w:jc w:val="both"/>
      </w:pPr>
      <w:r>
        <w:t xml:space="preserve">Biskopsmötet har behandlat frågan om prediko- och nattvardsgästfrihet tidigare åren 2006–2007 med anledning av ett initiativ som Borgå svenska domkyrkoförsamling lämnade till stiftsfullmäktige. Biskopsmötet tillsatte den 12 september 2006 en arbetsgrupp för att behandla initiativet. Arbetsgruppens utredning och en redogörelse över biskopsmötets behandling av ärendet finns i biskopsmötets protokoll från mötet den 11–12 september 2007. Utredningen ledde inte till några konkreta åtgärder. </w:t>
      </w:r>
    </w:p>
    <w:p w:rsidR="009A53D4" w:rsidRDefault="009A53D4" w:rsidP="002C0B86">
      <w:pPr>
        <w:ind w:left="1304"/>
        <w:jc w:val="both"/>
      </w:pPr>
    </w:p>
    <w:p w:rsidR="009A53D4" w:rsidRDefault="00D86EEE" w:rsidP="003F7A44">
      <w:pPr>
        <w:ind w:left="1304"/>
        <w:jc w:val="both"/>
      </w:pPr>
      <w:r>
        <w:t>I biskopsmötets utredning år 2007 ansåg man att prediko- och nattvardsgästfriheten bör granskas i anslutning till kyrkans konfessionella självförståelse. I predikan är det fråga om förkunnelse av det rena evangeliet med den auktoritet som följer av Guds ord. Kyrkoordningen och kyrkohandboken bestämmer de allmänna förutsättningarna och formen för gudstjänsten. Biskopsmötet påpek</w:t>
      </w:r>
      <w:r w:rsidR="00DA452F">
        <w:t>ar att predikan enligt 2 kap. 4 </w:t>
      </w:r>
      <w:r>
        <w:t xml:space="preserve">§ i kyrkoordningen ska hållas över de texter som bestämts i kyrkohandboken och vara överensstämmande med kyrkans bekännelse. Att predikan kopplas till kyrkans bekännelse innebär att predikan och ämbetet är tätt sammanknutna. Samtidigt kan kyrkoherden i enskilda fall kalla en medlem av kyrkan att predika. Biskopsmötet ansåg att den ekumeniska gemenskapen i gudstjänsten kan ta sig uttryck i bön, textläsning och gemensamt vittnesbörd, men att predikan ändå alltid ska hållas av en präst i vår kyrka (s. 16–17). Enligt biskopsmötet hör predikan till kyrkans väsen och bekännelse, får sitt innehåll från och är ett uttryck för dessa. Därför kan predikan inte vid en luthersk gudstjänst överlåtas till exempel i den ekumeniska gästfrihetens namn förutom i de situationer som föreskrivs i kyrkoordningen (s. 19–20). Samstämmighet vad gäller de </w:t>
      </w:r>
      <w:r>
        <w:lastRenderedPageBreak/>
        <w:t>grundläggande sanningarna om evangeliets lära och förvaltningen av sakramenten (CA I-XI) är en nödvändig och tillräcklig förutsättning för kyrklig enhet. Enheten tar sig uttryck i prediko- och nattvardsgemenskap och omfattar ofta även ömsesidigt erkännande av ämbeten. Enligt biskopsmötet krävdes inga ändringar i kyrkolagens och kyrkoordningens bestämmelser om predikan och predikorätt på grund av ekumenisk praxis (s. 35).</w:t>
      </w:r>
    </w:p>
    <w:p w:rsidR="002C0B86" w:rsidRDefault="002C0B86" w:rsidP="002C0B86">
      <w:pPr>
        <w:ind w:left="1304"/>
        <w:jc w:val="both"/>
      </w:pPr>
    </w:p>
    <w:p w:rsidR="00B03B75" w:rsidRDefault="00B03B75" w:rsidP="008F3170">
      <w:pPr>
        <w:ind w:left="1304"/>
        <w:jc w:val="both"/>
      </w:pPr>
      <w:r>
        <w:t>Domkapitlet i Borgå stift lämnade den 14 januari 2015 ett initiativ till biskopsmötet om att biskopsmötet ska utreda det ökade behovet av nattvardsgästfrihet och rätt för präster från andra kyrkosamfund att predika i församlingens gudstjänster. I initiativet föreslås en utvidgad predikogästfrihet. Detta innebär att författningarna justeras så att även pastorer i andra kyrkor kan predika vid vår kyrkas gudstjänst. Enligt initiativet är den roll som gällande författningar ger företrädarna för andra kyrkor (t.ex. hälsningstal, deltagande i förbön) marginell och stärker således inte det ekumeniska förtroendet.</w:t>
      </w:r>
    </w:p>
    <w:p w:rsidR="00B03B75" w:rsidRPr="00B03B75" w:rsidRDefault="00B03B75" w:rsidP="00B03B75">
      <w:pPr>
        <w:ind w:left="1304"/>
        <w:jc w:val="both"/>
      </w:pPr>
    </w:p>
    <w:p w:rsidR="00B03B75" w:rsidRDefault="00B03B75" w:rsidP="00B03B75">
      <w:pPr>
        <w:ind w:left="1304"/>
        <w:jc w:val="both"/>
      </w:pPr>
      <w:r>
        <w:t>Biskopsmötet behandlade initiativet första gången den 8 september 2015 i Borgå, då det tillsatte en arbetsgrupp (biskop Matti Repo, biskop Kaarlo Kalliala, assessor Riitta Särkiö, biskopsmötets generalsekreterare Jyri Komulainen) med uppgiften att utreda möjligheten att kalla präster och pastorer från andra kyrkosamfund att predika vid församlingarnas gudstjänster i Evangelisk-lutherska kyrkan i Finland. Arbetsgruppen fick också i uppgift att utreda frågor i anslutning till nattvardsgästfriheten. Arbetsgruppens utredning om möjligheterna för medlemmar av andra kyrkor att delta i nattvarden och predika i Evangelisk-lutherska kyrkan i Finland lämnades till biskopsmötet de</w:t>
      </w:r>
      <w:r w:rsidR="00DA452F">
        <w:t>n</w:t>
      </w:r>
      <w:r>
        <w:t xml:space="preserve"> 22 mars 2016. I utredningen ingick som bilaga en bedömning av prediko- och nattvardsgästfrihetens ekumeniska konsekvenser. För bedömningen konsulterades de ekumeniska samarbetskyrkorna. Biskopsmötet behandlade ärendet den 5 april 2016 och beslutade, eftersom de frågor som lyfts fram i Borgå domkapitels initiativ gällande nattvardsgästfrihet och predikogästfrihet teologiskt och kyrkorättsligt sett är separata, att i samband med den fortsatta behandlingen för kyrkomötet lägga fram två separata framställningar, varav biskopsmötets framställning 3/2016 som nu behandlas gäller predikomöjlighet för präster från andra kristna kyrkor. Konstitutionsutskottet tog ställning till framställningen 2/2016 om nattvardsgästfrihet i sitt betänkande 1/2016.</w:t>
      </w:r>
    </w:p>
    <w:p w:rsidR="007D2371" w:rsidRDefault="007D2371"/>
    <w:p w:rsidR="00FF60B2" w:rsidRDefault="00FF60B2" w:rsidP="00A1783E">
      <w:pPr>
        <w:pStyle w:val="Mietint-Potsikko"/>
        <w:outlineLvl w:val="0"/>
      </w:pPr>
      <w:r>
        <w:t>Framställningens centrala innehåll</w:t>
      </w:r>
    </w:p>
    <w:p w:rsidR="006524F2" w:rsidRDefault="006524F2"/>
    <w:p w:rsidR="00AD05D2" w:rsidRPr="00AD05D2" w:rsidRDefault="00AD05D2" w:rsidP="00E244E7">
      <w:pPr>
        <w:ind w:left="1304"/>
        <w:jc w:val="both"/>
      </w:pPr>
      <w:r>
        <w:t xml:space="preserve">I framställningen föreslås att 2 kap. 6 § 3 mom. i kyrkoordningen ändras så att kyrkoherden i enskilda fall kan kalla en präst från någon annan kristen kyrka eller ett därmed jämställt samfund att predika i gudstjänsten. </w:t>
      </w:r>
    </w:p>
    <w:p w:rsidR="00AD05D2" w:rsidRDefault="00AD05D2" w:rsidP="00E244E7">
      <w:pPr>
        <w:ind w:left="1304"/>
        <w:jc w:val="both"/>
      </w:pPr>
    </w:p>
    <w:p w:rsidR="00AD05D2" w:rsidRDefault="00AD05D2" w:rsidP="00E244E7">
      <w:pPr>
        <w:ind w:left="1304"/>
        <w:jc w:val="both"/>
      </w:pPr>
      <w:r>
        <w:t xml:space="preserve">Syftet med framställningen är att främja utvecklingen av den lokala ekumeniken och det gemensamma kristna vittnesbördet. En präst från någon annan kristen kyrka eller ett därmed jämställt samfund som kallas att predika har inga andra rättigheter eller skyldigheter i genomförandet av gudstjänsten. </w:t>
      </w:r>
    </w:p>
    <w:p w:rsidR="00AD05D2" w:rsidRDefault="00AD05D2" w:rsidP="00E244E7">
      <w:pPr>
        <w:ind w:left="1304"/>
        <w:jc w:val="both"/>
      </w:pPr>
    </w:p>
    <w:p w:rsidR="00AD05D2" w:rsidRDefault="00AD05D2" w:rsidP="00E244E7">
      <w:pPr>
        <w:ind w:left="1304"/>
        <w:jc w:val="both"/>
      </w:pPr>
      <w:r>
        <w:lastRenderedPageBreak/>
        <w:t>Syftet med framställningen är att främja den lokala ekumeniken genom att möjliggöra en naturligare och intensivare ekumenisk växelverkan. Den omfattar predikoämbetet också i sådana situationer där ingen nattvardsgemenskap mellan kyrkorna har uppnåtts.</w:t>
      </w:r>
    </w:p>
    <w:p w:rsidR="00C945A9" w:rsidRDefault="00C945A9" w:rsidP="00E244E7">
      <w:pPr>
        <w:jc w:val="both"/>
      </w:pPr>
    </w:p>
    <w:p w:rsidR="00263635" w:rsidRDefault="00FF60B2" w:rsidP="00A1783E">
      <w:pPr>
        <w:pStyle w:val="Mietint-Potsikko"/>
        <w:outlineLvl w:val="0"/>
      </w:pPr>
      <w:r>
        <w:t>Konstitutionsutskottets bedömning</w:t>
      </w:r>
    </w:p>
    <w:p w:rsidR="002F2BB5" w:rsidRDefault="002F2BB5">
      <w:pPr>
        <w:pStyle w:val="Mietint-Potsikko"/>
        <w:rPr>
          <w:b w:val="0"/>
        </w:rPr>
      </w:pPr>
    </w:p>
    <w:p w:rsidR="00BA4FC2" w:rsidRDefault="00BA4FC2" w:rsidP="00E244E7">
      <w:pPr>
        <w:ind w:left="1304"/>
        <w:jc w:val="both"/>
      </w:pPr>
      <w:r>
        <w:t xml:space="preserve">Utskottet ställer sig positivt till framställningen. Den ekumeniska utvecklingen och de expanderande internationella kontakterna har lett till fall där predikogästfriheten vore ändamålsenlig. Enligt vår kyrkas gällande bestämmelser kan en präst i en kyrka som ingått ett avtal om nattvardsgemenskap med vår kyrka predika </w:t>
      </w:r>
      <w:r w:rsidR="00CA6F2A">
        <w:t>i</w:t>
      </w:r>
      <w:r>
        <w:t xml:space="preserve"> gudstjänsten, och med biskopens tillåtelse kan även en präst i en annan evangelisk-luthersk kyrka göra det. I en del utvecklingsländer är kyrkorna inte indelade enligt samma bekännelsesamfundsgränser som i Europa. Vår kyrka och dess missionsorganisationer samarbetar också med sådana kyrkor. Det ekumeniska samarbetet och den ökande mångfalden bland kristna leder även i vårt eget land till ett motiverat behov av en möjlighet att tillåta predikogästfrihet i enskilda fall. </w:t>
      </w:r>
    </w:p>
    <w:p w:rsidR="00D3445A" w:rsidRDefault="00D3445A" w:rsidP="00E244E7">
      <w:pPr>
        <w:ind w:left="1304"/>
        <w:jc w:val="both"/>
      </w:pPr>
    </w:p>
    <w:p w:rsidR="002C385D" w:rsidRDefault="00E37C8F" w:rsidP="00E244E7">
      <w:pPr>
        <w:ind w:left="1304"/>
        <w:jc w:val="both"/>
      </w:pPr>
      <w:r>
        <w:t xml:space="preserve">Samtidigt bör de särdrag som gäller predikan beaktas. Enligt 2 kap. 4 § i kyrkoordningen ska predikan vara överensstämmande med kyrkans bekännelse. Enligt den lutherska bekännelsen är kyrkan de heligas samfund, i vilket evangelium rent förkunnas och sakramenten </w:t>
      </w:r>
      <w:bookmarkStart w:id="1" w:name="VII2"/>
      <w:bookmarkEnd w:id="1"/>
      <w:r>
        <w:t xml:space="preserve">rätt förvaltas. Kriteriet för kyrkans sanna enhet är samstämmighet i fråga om evangeliets lära och förvaltningen av sakramenten. (CA VII). Enligt bekännelsen bör ingen utan vederbörlig kallelse i kyrkan predika offentligen eller förvalta sakramenten (CA XIV).  En predikan är inget tal eller föredrag, utan en förkunnelse av evangeliet. Enligt den lutherska kyrkan är evangeliet ett verksamt nådemedel som skänker vad det lovar. </w:t>
      </w:r>
    </w:p>
    <w:p w:rsidR="00616911" w:rsidRDefault="00616911" w:rsidP="00E244E7">
      <w:pPr>
        <w:ind w:left="1304"/>
        <w:jc w:val="both"/>
      </w:pPr>
    </w:p>
    <w:p w:rsidR="002C385D" w:rsidRDefault="002C385D" w:rsidP="00E244E7">
      <w:pPr>
        <w:ind w:left="1304"/>
        <w:jc w:val="both"/>
      </w:pPr>
      <w:r>
        <w:t xml:space="preserve">Kyrkoordningen och bekännelsen ställer alltså krav på den som predikar. Den som predikar ska vara en person som har rätt att predika och förvalta sakramenten i sitt eget samfund. Dessutom ska den som predikar förstå vår kyrkas uppfattning om predikans syfte och känna till den lutherska bekännelsen i en sådan mån att innehållet i predikan inte strider mot bekännelsen. Predikan vid en gudstjänst sker på inbjudan av kyrkoherden. Kyrkoherden svarar för att gudstjänsten, de heliga sakramenten, de kyrkliga förrättningarna och förkunnelsen sköts på rätt sätt och har tillsyn över att församlingens övriga verksamhet såsom kristen fostran och undervisning, diakoni samt evangelisations- och missionsarbete bedrivs i enlighet med kyrkans bekännelse och uppgift (6 kap. 13 § i kyrkoordningen). Framställningen utökar kyrkoherdens prövningsrätt i undantagsfall. En kyrkoherde som kallar en präst från en annan kyrka att predika ska säkerställa att prästen i fråga är medveten om de villkor som ställs för predikan i kyrkans ordning och bekännelse. </w:t>
      </w:r>
    </w:p>
    <w:p w:rsidR="00B50A0D" w:rsidRDefault="00B50A0D" w:rsidP="00E244E7">
      <w:pPr>
        <w:ind w:left="1304"/>
        <w:jc w:val="both"/>
      </w:pPr>
    </w:p>
    <w:p w:rsidR="003F05F8" w:rsidRDefault="006E4019" w:rsidP="00E244E7">
      <w:pPr>
        <w:ind w:left="1304"/>
        <w:jc w:val="both"/>
      </w:pPr>
      <w:r>
        <w:t xml:space="preserve">Utskottet anser att predikogästfriheten handlar om enskilda fall. En präst i en annan kyrka har inte avlagt det lutherska prästlöftet och kan inte förväntas ha samma engagemang i den lutherska bekännelsen som kyrkans egen tjänsteinnehavare. Situationen bör förklaras så att församlingen förstår att den som predikar är en särskild ekumenisk gäst som inte är präst i vår egen kyrka. En situation där predikogästfriheten utövas är en ekumenisk vänskapsbetygelse som förutsätter god vilja hos den präst som kallats att predika att tala om sådant som </w:t>
      </w:r>
      <w:r>
        <w:lastRenderedPageBreak/>
        <w:t>är gemensamt för båda kyrkorna, och förståelse hos den inbjudande församlingen för att den predikande gästen inte nödvändigtvis har detaljerade kunskaper om den lutherska bekännelsen och traditionen. Gästfriheten grundar sig på ömsesidigt förtroende och kräver förståelse för att syftet inte är att fokusera på teologiska tvistefrågor.</w:t>
      </w:r>
    </w:p>
    <w:p w:rsidR="003F05F8" w:rsidRDefault="003F05F8" w:rsidP="00E244E7">
      <w:pPr>
        <w:ind w:left="1304"/>
        <w:jc w:val="both"/>
      </w:pPr>
    </w:p>
    <w:p w:rsidR="00BA4FC2" w:rsidRDefault="002F0ABD" w:rsidP="00E244E7">
      <w:pPr>
        <w:ind w:left="1304"/>
        <w:jc w:val="both"/>
      </w:pPr>
      <w:r>
        <w:t>Samtidigt påpekar utskottet att avsikten inte är att predikan ska ersätta andra uttryck för ekumenisk gemenskap såsom hälsningar, läsning av Guds ord och gemensamma böner. Vilka former av ekumeniskt samarbete som lämpar sig bäst för situationen måste bedömas från fall till fall. Enligt framställningen kan endast en präst kallas att predika, medan en lekman kan delta i förrättandet av gudstjänsten på andra sätt. En lekman kan också hålla ett tal vid gudstjänsten.</w:t>
      </w:r>
    </w:p>
    <w:p w:rsidR="00FE6DC2" w:rsidRDefault="00FE6DC2" w:rsidP="00FE6DC2"/>
    <w:p w:rsidR="00E325C9" w:rsidRDefault="00E325C9" w:rsidP="00DA452F">
      <w:pPr>
        <w:pStyle w:val="Mietint-Potsikko"/>
        <w:keepNext/>
        <w:outlineLvl w:val="0"/>
      </w:pPr>
      <w:r>
        <w:t>Detaljmotivering</w:t>
      </w:r>
    </w:p>
    <w:p w:rsidR="00E325C9" w:rsidRDefault="00E325C9" w:rsidP="00DA452F">
      <w:pPr>
        <w:pStyle w:val="Mietint-Potsikko"/>
        <w:keepNext/>
      </w:pPr>
    </w:p>
    <w:p w:rsidR="00E86BD3" w:rsidRDefault="00E86BD3" w:rsidP="00E244E7">
      <w:pPr>
        <w:ind w:left="1304"/>
        <w:jc w:val="both"/>
      </w:pPr>
      <w:r>
        <w:t xml:space="preserve">Med stöd av 2 kap. 6 § 3 mom. i kyrkoordningen kan kyrkoherden i enskilda fall kalla en sådan medlem av kyrkan ”som är konfirmerad och känd för sin kristna övertygelse” att predika </w:t>
      </w:r>
      <w:r w:rsidR="00CA6F2A">
        <w:t>i</w:t>
      </w:r>
      <w:r>
        <w:t xml:space="preserve"> gudstjänsten. Med kyrkan avses i detta sammanhang Evangelisk-lutherska kyrkan i Finland.</w:t>
      </w:r>
    </w:p>
    <w:p w:rsidR="00E86BD3" w:rsidRPr="00E86BD3" w:rsidRDefault="00E86BD3" w:rsidP="00E244E7">
      <w:pPr>
        <w:ind w:left="1304"/>
        <w:jc w:val="both"/>
      </w:pPr>
    </w:p>
    <w:p w:rsidR="00E86BD3" w:rsidRDefault="00E86BD3" w:rsidP="00E244E7">
      <w:pPr>
        <w:ind w:left="1304"/>
        <w:jc w:val="both"/>
      </w:pPr>
      <w:r>
        <w:t xml:space="preserve">I den föreslagna formuleringen ges kyrkoherden utöver ovanstående även rätt att kalla ”en präst från någon annan kristen kyrka eller ett därmed jämställt samfund” att predika </w:t>
      </w:r>
      <w:r w:rsidR="00CA6F2A">
        <w:t>i</w:t>
      </w:r>
      <w:r>
        <w:t xml:space="preserve"> gudstjänsten. </w:t>
      </w:r>
    </w:p>
    <w:p w:rsidR="00E86BD3" w:rsidRPr="00E86BD3" w:rsidRDefault="00E86BD3" w:rsidP="00E244E7">
      <w:pPr>
        <w:ind w:left="1304"/>
        <w:jc w:val="both"/>
      </w:pPr>
    </w:p>
    <w:p w:rsidR="00E86BD3" w:rsidRDefault="00E86BD3" w:rsidP="00E244E7">
      <w:pPr>
        <w:ind w:left="1304"/>
        <w:jc w:val="both"/>
      </w:pPr>
      <w:r>
        <w:t xml:space="preserve">Uttrycket ”präst från någon annan kristen kyrka eller ett därmed jämställt samfund” har samma ordalydelse som 2 kap. 22 § 2 mom. i kyrkoordningen. Med kristen kyrka eller ett därmed jämställt samfund avses ett samfund som uppfyller det kriterium som används inom den ekumeniska rörelsen: som kristna betraktas sådana samfund som bekänner Herren Jesus som Gud och Frälsare enligt Bibeln och därför tillsammans strävar efter att fullgöra sin gemensamma kallelse en enda Gud, Fader, Son och helig Ande till ära. I praktiken innefattar uttrycket också de kyrkor vilkas präster redan nu har rätt att predika </w:t>
      </w:r>
      <w:r w:rsidR="00CA6F2A">
        <w:t>i</w:t>
      </w:r>
      <w:r>
        <w:t xml:space="preserve"> gudstjänsten enligt 2 kap. 27 § i kyrkoordningen och de beslut av biskopsmötet som grundar sig på denna bestämmelse (KF 86, 111).</w:t>
      </w:r>
    </w:p>
    <w:p w:rsidR="00E86BD3" w:rsidRPr="00E86BD3" w:rsidRDefault="00E86BD3" w:rsidP="00E244E7">
      <w:pPr>
        <w:ind w:left="1304"/>
        <w:jc w:val="both"/>
      </w:pPr>
    </w:p>
    <w:p w:rsidR="00E86BD3" w:rsidRDefault="00E86BD3" w:rsidP="00E244E7">
      <w:pPr>
        <w:ind w:left="1304"/>
        <w:jc w:val="both"/>
      </w:pPr>
      <w:r>
        <w:t>Med präst avses en person i ett andligt ämbete i ett kristet samfund enligt denna definition som har rätt att predika och förvalta sak</w:t>
      </w:r>
      <w:r w:rsidR="00DA452F">
        <w:t>ramenten i sitt eget samfund. I </w:t>
      </w:r>
      <w:r>
        <w:t>praktiken kan en sådan person i olika samfund ha många olika titlar.</w:t>
      </w:r>
    </w:p>
    <w:p w:rsidR="00E86BD3" w:rsidRPr="00E86BD3" w:rsidRDefault="00E86BD3" w:rsidP="00E244E7">
      <w:pPr>
        <w:ind w:left="1304"/>
        <w:jc w:val="both"/>
      </w:pPr>
    </w:p>
    <w:p w:rsidR="00E86BD3" w:rsidRDefault="00E86BD3" w:rsidP="00E244E7">
      <w:pPr>
        <w:ind w:left="1304"/>
        <w:jc w:val="both"/>
      </w:pPr>
      <w:r>
        <w:t xml:space="preserve">Kyrkoherdens samtycke, tillstånd eller kallelse förutsätts redan i den gällande kyrkolagstiftningen alltid då någon annan än den som sköter prästämbetet i församlingen predikar vid gudstjänsten. Denna befogenhet som getts kyrkoherden följer av 6 kap. 13 § 1 mom. i kyrkoordningen, enligt vilket kyrkoherden ”svarar för att gudstjänsten, de heliga sakramenten, de kyrkliga förrättningarna och förkunnelsen sköts på rätt sätt”. </w:t>
      </w:r>
    </w:p>
    <w:p w:rsidR="00E86BD3" w:rsidRPr="00E86BD3" w:rsidRDefault="00E86BD3" w:rsidP="00E244E7">
      <w:pPr>
        <w:ind w:left="1304"/>
        <w:jc w:val="both"/>
      </w:pPr>
    </w:p>
    <w:p w:rsidR="00E86BD3" w:rsidRDefault="00E86BD3" w:rsidP="00E244E7">
      <w:pPr>
        <w:ind w:left="1304"/>
        <w:jc w:val="both"/>
      </w:pPr>
      <w:r>
        <w:lastRenderedPageBreak/>
        <w:t>Enligt 2 kap. 4 § i kyrkoordningen ska predikan vara ”överensstämmande med kyrkans bekännelse”. Detta innebär att en kyrkoherde som kallar en präst från en annan kyrka att predika ska säkerställa att prästen i fråga är förtrogen med de krav som ställs på predikan i kyrkoordningen och med den lutherska gudstjänstuppfattningen.</w:t>
      </w:r>
    </w:p>
    <w:p w:rsidR="00CA6F2A" w:rsidRDefault="00CA6F2A" w:rsidP="00E244E7">
      <w:pPr>
        <w:ind w:left="1304"/>
        <w:jc w:val="both"/>
      </w:pPr>
    </w:p>
    <w:p w:rsidR="00E86BD3" w:rsidRPr="00E86BD3" w:rsidRDefault="00E86BD3" w:rsidP="00E244E7">
      <w:pPr>
        <w:ind w:left="1304"/>
        <w:jc w:val="both"/>
      </w:pPr>
      <w:r>
        <w:t>Ändringen i kyrkoordningen föreslås träda i kraft så snart som möjligt efter att den godkänts.</w:t>
      </w:r>
    </w:p>
    <w:p w:rsidR="0044074D" w:rsidRDefault="0044074D" w:rsidP="0044074D">
      <w:pPr>
        <w:ind w:left="1304"/>
        <w:jc w:val="both"/>
      </w:pPr>
    </w:p>
    <w:p w:rsidR="0044074D" w:rsidRDefault="0044074D" w:rsidP="0044074D">
      <w:pPr>
        <w:ind w:left="1304"/>
        <w:jc w:val="both"/>
      </w:pPr>
      <w:r w:rsidRPr="0044074D">
        <w:rPr>
          <w:i/>
        </w:rPr>
        <w:t>Översättarens anmärkning:</w:t>
      </w:r>
      <w:r>
        <w:t xml:space="preserve"> I den svenska texten korrigeras samtidigt prepositionen i överensstämmelse med 1 kap. 4 § 2 mom., 2 kap. 6 § 2 mom. och 6 kap. 31 § i kyrkoordningen från ”predika vid gudstjänsten” till ”predika i gudstjänsten”.</w:t>
      </w:r>
    </w:p>
    <w:p w:rsidR="00FF60B2" w:rsidRDefault="00FF60B2">
      <w:pPr>
        <w:pStyle w:val="Mietint-Potsikko"/>
      </w:pPr>
    </w:p>
    <w:p w:rsidR="001401A0" w:rsidRPr="0084638D" w:rsidRDefault="001401A0" w:rsidP="00A1783E">
      <w:pPr>
        <w:jc w:val="both"/>
        <w:outlineLvl w:val="0"/>
        <w:rPr>
          <w:b/>
        </w:rPr>
      </w:pPr>
      <w:r>
        <w:rPr>
          <w:b/>
        </w:rPr>
        <w:t>Utskottets förslag</w:t>
      </w:r>
    </w:p>
    <w:p w:rsidR="001401A0" w:rsidRDefault="001401A0" w:rsidP="001401A0">
      <w:pPr>
        <w:ind w:left="1304"/>
        <w:jc w:val="both"/>
      </w:pPr>
    </w:p>
    <w:p w:rsidR="00E325C9" w:rsidRDefault="0021008B" w:rsidP="0021008B">
      <w:pPr>
        <w:ind w:left="1304"/>
        <w:jc w:val="both"/>
      </w:pPr>
      <w:r>
        <w:t xml:space="preserve">Med ovan nämnda motiveringar föreslår konstitutionsutskottet att kyrkomötet fattar ett beslut, genom vilket </w:t>
      </w:r>
    </w:p>
    <w:p w:rsidR="00E325C9" w:rsidRDefault="00E325C9" w:rsidP="0021008B">
      <w:pPr>
        <w:ind w:left="1304"/>
        <w:jc w:val="both"/>
      </w:pPr>
    </w:p>
    <w:p w:rsidR="00E86BD3" w:rsidRPr="00E94677" w:rsidRDefault="00EA7D10" w:rsidP="00DA452F">
      <w:pPr>
        <w:ind w:left="1304" w:hanging="1020"/>
        <w:jc w:val="both"/>
      </w:pPr>
      <w:r>
        <w:rPr>
          <w:i/>
        </w:rPr>
        <w:tab/>
        <w:t xml:space="preserve">ändras </w:t>
      </w:r>
      <w:r>
        <w:t>2 kap. 6 § 3 mom. i kyrkoordningen (1055/1993), sådant det lyder i kyrkomötets beslut 1234/1999, som följer:</w:t>
      </w:r>
    </w:p>
    <w:p w:rsidR="00E86BD3" w:rsidRPr="00E94677" w:rsidRDefault="00E86BD3" w:rsidP="00E86BD3"/>
    <w:p w:rsidR="00E86BD3" w:rsidRPr="00E94677" w:rsidRDefault="00E86BD3" w:rsidP="00E86BD3">
      <w:pPr>
        <w:jc w:val="center"/>
      </w:pPr>
      <w:r>
        <w:t>2 kap.</w:t>
      </w:r>
    </w:p>
    <w:p w:rsidR="00E86BD3" w:rsidRPr="00E94677" w:rsidRDefault="00E86BD3" w:rsidP="00E86BD3">
      <w:pPr>
        <w:jc w:val="center"/>
      </w:pPr>
    </w:p>
    <w:p w:rsidR="00E86BD3" w:rsidRPr="00E94677" w:rsidRDefault="00E86BD3" w:rsidP="00E86BD3">
      <w:pPr>
        <w:jc w:val="center"/>
        <w:outlineLvl w:val="0"/>
        <w:rPr>
          <w:b/>
        </w:rPr>
      </w:pPr>
      <w:r>
        <w:rPr>
          <w:b/>
        </w:rPr>
        <w:t>Kyrkans heliga handlingar</w:t>
      </w:r>
    </w:p>
    <w:p w:rsidR="00E86BD3" w:rsidRPr="00E94677" w:rsidRDefault="00E86BD3" w:rsidP="00E86BD3">
      <w:pPr>
        <w:jc w:val="center"/>
        <w:rPr>
          <w:highlight w:val="yellow"/>
        </w:rPr>
      </w:pPr>
    </w:p>
    <w:p w:rsidR="00E86BD3" w:rsidRPr="00E94677" w:rsidRDefault="00E86BD3" w:rsidP="00E86BD3">
      <w:pPr>
        <w:jc w:val="center"/>
      </w:pPr>
      <w:r>
        <w:t>6 §</w:t>
      </w:r>
    </w:p>
    <w:p w:rsidR="00E86BD3" w:rsidRDefault="00E86BD3" w:rsidP="00E86BD3">
      <w:r>
        <w:t xml:space="preserve">― ― ― ― ― ― ― ― ― ― ― ― ― ― ― ― ― ― ― ― ― ― ― ― ― ― ― ― ― ― </w:t>
      </w:r>
    </w:p>
    <w:p w:rsidR="00E86BD3" w:rsidRPr="00E94677" w:rsidRDefault="00E86BD3" w:rsidP="00E86BD3">
      <w:pPr>
        <w:ind w:firstLine="284"/>
        <w:jc w:val="both"/>
      </w:pPr>
      <w:r>
        <w:t xml:space="preserve">I enskilda fall kan kyrkoherden kalla en sådan medlem av kyrkan som är konfirmerad och känd för sin kristna övertygelse eller en präst från någon annan kristen kyrka eller ett därmed jämställt samfund att predika </w:t>
      </w:r>
      <w:r w:rsidR="00CA6F2A">
        <w:t>i</w:t>
      </w:r>
      <w:r>
        <w:t xml:space="preserve"> gudstjänsten.</w:t>
      </w:r>
    </w:p>
    <w:p w:rsidR="00E86BD3" w:rsidRPr="000D54BA" w:rsidRDefault="00E86BD3" w:rsidP="00E86BD3"/>
    <w:p w:rsidR="00E86BD3" w:rsidRDefault="00E86BD3" w:rsidP="00E86BD3">
      <w:r>
        <w:t xml:space="preserve">                                                                     __________</w:t>
      </w:r>
    </w:p>
    <w:p w:rsidR="00E86BD3" w:rsidRDefault="00E86BD3" w:rsidP="00E86BD3"/>
    <w:p w:rsidR="00E86BD3" w:rsidRPr="000D54BA" w:rsidRDefault="00E86BD3" w:rsidP="00E86BD3">
      <w:pPr>
        <w:ind w:firstLine="284"/>
      </w:pPr>
      <w:r>
        <w:t>Detta beslut träder i kraft den 1 juni 2017.</w:t>
      </w:r>
    </w:p>
    <w:p w:rsidR="0021008B" w:rsidRDefault="0021008B" w:rsidP="00E86BD3">
      <w:pPr>
        <w:ind w:left="1276" w:firstLine="28"/>
      </w:pPr>
    </w:p>
    <w:p w:rsidR="00720E86" w:rsidRDefault="00720E86"/>
    <w:p w:rsidR="00FE4E93" w:rsidRDefault="00FE4E93"/>
    <w:p w:rsidR="00720E86" w:rsidRDefault="00720E86"/>
    <w:p w:rsidR="00C945A9" w:rsidRDefault="00C945A9"/>
    <w:p w:rsidR="00C945A9" w:rsidRDefault="00F5376C" w:rsidP="00FE4E93">
      <w:pPr>
        <w:outlineLvl w:val="0"/>
      </w:pPr>
      <w:r>
        <w:t>Helsingfors den 3 februari 2017</w:t>
      </w:r>
    </w:p>
    <w:p w:rsidR="00FE4E93" w:rsidRDefault="00FE4E93" w:rsidP="00FE4E93">
      <w:pPr>
        <w:outlineLvl w:val="0"/>
      </w:pPr>
    </w:p>
    <w:p w:rsidR="00FE4E93" w:rsidRDefault="00FE4E93" w:rsidP="00FE4E93">
      <w:pPr>
        <w:outlineLvl w:val="0"/>
      </w:pPr>
    </w:p>
    <w:p w:rsidR="00C945A9" w:rsidRDefault="00C945A9" w:rsidP="00FE4E93">
      <w:pPr>
        <w:outlineLvl w:val="0"/>
      </w:pPr>
      <w:r>
        <w:t>För utskottet</w:t>
      </w:r>
    </w:p>
    <w:p w:rsidR="00C945A9" w:rsidRDefault="00C945A9" w:rsidP="00FE4E93"/>
    <w:p w:rsidR="00EA4C31" w:rsidRDefault="00EA4C31" w:rsidP="00FE4E93"/>
    <w:p w:rsidR="00EA4C31" w:rsidRDefault="00EA4C31" w:rsidP="00FE4E93"/>
    <w:p w:rsidR="00C945A9" w:rsidRDefault="00C945A9" w:rsidP="00FE4E93"/>
    <w:p w:rsidR="00C945A9" w:rsidRDefault="00653BB7" w:rsidP="00FE4E93">
      <w:r>
        <w:t>Matti Repo</w:t>
      </w:r>
      <w:r>
        <w:tab/>
      </w:r>
      <w:r>
        <w:tab/>
      </w:r>
      <w:r>
        <w:tab/>
        <w:t>Ilmari Karimies</w:t>
      </w:r>
    </w:p>
    <w:p w:rsidR="00C945A9" w:rsidRDefault="00C945A9" w:rsidP="00FE4E93">
      <w:r>
        <w:t>ordförande</w:t>
      </w:r>
      <w:r>
        <w:tab/>
      </w:r>
      <w:r>
        <w:tab/>
      </w:r>
      <w:r w:rsidR="00DA452F">
        <w:tab/>
      </w:r>
      <w:r>
        <w:t>sekreterare</w:t>
      </w:r>
    </w:p>
    <w:p w:rsidR="00C945A9" w:rsidRDefault="00C945A9" w:rsidP="00FE4E93"/>
    <w:p w:rsidR="00C945A9" w:rsidRDefault="00C945A9" w:rsidP="00FE4E93"/>
    <w:p w:rsidR="00C945A9" w:rsidRDefault="00C945A9" w:rsidP="00FE4E93"/>
    <w:p w:rsidR="00C945A9" w:rsidRDefault="00C945A9" w:rsidP="00FE4E93"/>
    <w:p w:rsidR="00C945A9" w:rsidRDefault="00C945A9" w:rsidP="00FE4E93"/>
    <w:p w:rsidR="00720E86" w:rsidRDefault="00C945A9" w:rsidP="00FE4E93">
      <w:pPr>
        <w:jc w:val="both"/>
      </w:pPr>
      <w:r>
        <w:t>I behandlingen av ärendet deltog ordförande Matti Repo och medlemmarna Hiilamo, Jolkkonen, Juntunen, Ketonen, Koskenniemi, Lumijärvi, Niiranen, Nummela, Puhalainen, Rantala, Sariola, Toiviainen och Vikström.</w:t>
      </w:r>
    </w:p>
    <w:p w:rsidR="00EA4C31" w:rsidRPr="006620CA" w:rsidRDefault="0021008B" w:rsidP="00FE4E93">
      <w:pPr>
        <w:ind w:left="5216"/>
        <w:jc w:val="right"/>
        <w:rPr>
          <w:i/>
        </w:rPr>
      </w:pPr>
      <w:r>
        <w:br w:type="page"/>
      </w:r>
      <w:r>
        <w:rPr>
          <w:i/>
        </w:rPr>
        <w:lastRenderedPageBreak/>
        <w:t xml:space="preserve">             Bilaga </w:t>
      </w:r>
      <w:r>
        <w:rPr>
          <w:i/>
        </w:rPr>
        <w:br/>
        <w:t>Parallelltexter</w:t>
      </w:r>
    </w:p>
    <w:p w:rsidR="00EA4C31" w:rsidRPr="000D54BA" w:rsidRDefault="00EA4C31" w:rsidP="00EA4C31">
      <w:pPr>
        <w:rPr>
          <w:b/>
        </w:rPr>
      </w:pPr>
    </w:p>
    <w:p w:rsidR="005C693C" w:rsidRDefault="005C693C" w:rsidP="005C693C">
      <w:pPr>
        <w:jc w:val="center"/>
        <w:outlineLvl w:val="0"/>
        <w:rPr>
          <w:b/>
        </w:rPr>
      </w:pPr>
      <w:r>
        <w:rPr>
          <w:b/>
        </w:rPr>
        <w:t xml:space="preserve">Kyrkomötets beslut </w:t>
      </w:r>
    </w:p>
    <w:p w:rsidR="005C693C" w:rsidRPr="00E94677" w:rsidRDefault="005C693C" w:rsidP="005C693C">
      <w:pPr>
        <w:jc w:val="center"/>
        <w:rPr>
          <w:b/>
        </w:rPr>
      </w:pPr>
      <w:r>
        <w:rPr>
          <w:b/>
        </w:rPr>
        <w:t>om ändring av 2 kap. 6 § i kyrkoordningen</w:t>
      </w:r>
    </w:p>
    <w:p w:rsidR="005C693C" w:rsidRDefault="005C693C" w:rsidP="005C693C"/>
    <w:p w:rsidR="005C693C" w:rsidRPr="00485FA5" w:rsidRDefault="005C693C" w:rsidP="005C693C">
      <w:pPr>
        <w:ind w:left="284" w:hanging="284"/>
        <w:jc w:val="both"/>
        <w:outlineLvl w:val="0"/>
      </w:pPr>
      <w:r>
        <w:tab/>
        <w:t>I enlighet med kyrkomötets beslut</w:t>
      </w:r>
    </w:p>
    <w:p w:rsidR="005C693C" w:rsidRPr="00E94677" w:rsidRDefault="005C693C" w:rsidP="005C693C">
      <w:pPr>
        <w:ind w:firstLine="284"/>
        <w:jc w:val="both"/>
      </w:pPr>
      <w:r>
        <w:rPr>
          <w:i/>
        </w:rPr>
        <w:t xml:space="preserve">ändras </w:t>
      </w:r>
      <w:r>
        <w:t>2 kap. 6 § 3 mom. i kyrkoordningen (1055/1993), sådant det lyder i kyrkomötets beslut 1234/1999, som följer:</w:t>
      </w:r>
    </w:p>
    <w:p w:rsidR="005C693C" w:rsidRPr="00E94677" w:rsidRDefault="005C693C" w:rsidP="005C693C">
      <w:pPr>
        <w:rPr>
          <w:b/>
        </w:rPr>
      </w:pPr>
    </w:p>
    <w:tbl>
      <w:tblPr>
        <w:tblW w:w="0" w:type="auto"/>
        <w:tblLook w:val="04A0" w:firstRow="1" w:lastRow="0" w:firstColumn="1" w:lastColumn="0" w:noHBand="0" w:noVBand="1"/>
      </w:tblPr>
      <w:tblGrid>
        <w:gridCol w:w="4652"/>
        <w:gridCol w:w="4658"/>
      </w:tblGrid>
      <w:tr w:rsidR="005C693C" w:rsidRPr="00F8474B" w:rsidTr="005C693C">
        <w:tc>
          <w:tcPr>
            <w:tcW w:w="4981" w:type="dxa"/>
          </w:tcPr>
          <w:p w:rsidR="005C693C" w:rsidRPr="005C693C" w:rsidRDefault="005C693C" w:rsidP="005C693C">
            <w:pPr>
              <w:rPr>
                <w:iCs/>
              </w:rPr>
            </w:pPr>
            <w:r>
              <w:rPr>
                <w:i/>
                <w:iCs/>
              </w:rPr>
              <w:t>Gällande kyrkoordning</w:t>
            </w:r>
          </w:p>
          <w:p w:rsidR="005C693C" w:rsidRPr="005C693C" w:rsidRDefault="005C693C" w:rsidP="005C693C">
            <w:pPr>
              <w:rPr>
                <w:iCs/>
              </w:rPr>
            </w:pPr>
            <w:r>
              <w:t xml:space="preserve">                               </w:t>
            </w:r>
          </w:p>
          <w:p w:rsidR="005C693C" w:rsidRPr="005C693C" w:rsidRDefault="005C693C" w:rsidP="005C693C">
            <w:pPr>
              <w:jc w:val="center"/>
              <w:rPr>
                <w:iCs/>
              </w:rPr>
            </w:pPr>
            <w:r>
              <w:t>2 kap.</w:t>
            </w:r>
          </w:p>
          <w:p w:rsidR="005C693C" w:rsidRPr="005C693C" w:rsidRDefault="005C693C" w:rsidP="005C693C">
            <w:pPr>
              <w:rPr>
                <w:iCs/>
              </w:rPr>
            </w:pPr>
          </w:p>
          <w:p w:rsidR="005C693C" w:rsidRPr="005C693C" w:rsidRDefault="005C693C" w:rsidP="005C693C">
            <w:pPr>
              <w:jc w:val="center"/>
              <w:rPr>
                <w:b/>
                <w:iCs/>
              </w:rPr>
            </w:pPr>
            <w:r>
              <w:rPr>
                <w:b/>
                <w:iCs/>
              </w:rPr>
              <w:t>Kyrkans heliga handlingar</w:t>
            </w:r>
          </w:p>
          <w:p w:rsidR="005C693C" w:rsidRPr="005C693C" w:rsidRDefault="005C693C" w:rsidP="005C693C">
            <w:pPr>
              <w:rPr>
                <w:iCs/>
              </w:rPr>
            </w:pPr>
          </w:p>
        </w:tc>
        <w:tc>
          <w:tcPr>
            <w:tcW w:w="4981" w:type="dxa"/>
          </w:tcPr>
          <w:p w:rsidR="005C693C" w:rsidRPr="005C693C" w:rsidRDefault="005C693C" w:rsidP="005C693C">
            <w:pPr>
              <w:ind w:left="62" w:firstLine="46"/>
              <w:rPr>
                <w:iCs/>
              </w:rPr>
            </w:pPr>
            <w:r>
              <w:rPr>
                <w:i/>
                <w:iCs/>
              </w:rPr>
              <w:t>Föreslagen lydelse</w:t>
            </w:r>
          </w:p>
          <w:p w:rsidR="005C693C" w:rsidRPr="005C693C" w:rsidRDefault="005C693C" w:rsidP="005C693C">
            <w:pPr>
              <w:ind w:left="62" w:firstLine="46"/>
              <w:rPr>
                <w:iCs/>
              </w:rPr>
            </w:pPr>
          </w:p>
          <w:p w:rsidR="005C693C" w:rsidRPr="005C693C" w:rsidRDefault="005C693C" w:rsidP="005C693C">
            <w:pPr>
              <w:ind w:left="62" w:firstLine="46"/>
              <w:jc w:val="center"/>
              <w:rPr>
                <w:iCs/>
              </w:rPr>
            </w:pPr>
            <w:r>
              <w:t>2 kap.</w:t>
            </w:r>
          </w:p>
          <w:p w:rsidR="005C693C" w:rsidRPr="005C693C" w:rsidRDefault="005C693C" w:rsidP="005C693C">
            <w:pPr>
              <w:ind w:left="62" w:firstLine="46"/>
              <w:jc w:val="center"/>
              <w:rPr>
                <w:iCs/>
              </w:rPr>
            </w:pPr>
          </w:p>
          <w:p w:rsidR="005C693C" w:rsidRPr="005C693C" w:rsidRDefault="005C693C" w:rsidP="005C693C">
            <w:pPr>
              <w:tabs>
                <w:tab w:val="left" w:pos="1603"/>
              </w:tabs>
              <w:ind w:left="62" w:firstLine="46"/>
              <w:jc w:val="center"/>
              <w:rPr>
                <w:b/>
                <w:iCs/>
              </w:rPr>
            </w:pPr>
            <w:r>
              <w:rPr>
                <w:b/>
                <w:iCs/>
              </w:rPr>
              <w:t>Kyrkans heliga handlingar</w:t>
            </w:r>
          </w:p>
        </w:tc>
      </w:tr>
      <w:tr w:rsidR="005C693C" w:rsidRPr="00F8474B" w:rsidTr="005C693C">
        <w:tc>
          <w:tcPr>
            <w:tcW w:w="4981" w:type="dxa"/>
          </w:tcPr>
          <w:p w:rsidR="005C693C" w:rsidRPr="005C693C" w:rsidRDefault="005C693C" w:rsidP="005C693C">
            <w:pPr>
              <w:rPr>
                <w:iCs/>
              </w:rPr>
            </w:pPr>
            <w:r>
              <w:t>― ― ― ― ― ― ― ― ― ― ― ― ― ―</w:t>
            </w:r>
          </w:p>
          <w:p w:rsidR="005C693C" w:rsidRPr="005C693C" w:rsidRDefault="005C693C" w:rsidP="005C693C">
            <w:pPr>
              <w:jc w:val="both"/>
              <w:rPr>
                <w:iCs/>
              </w:rPr>
            </w:pPr>
            <w:r>
              <w:t xml:space="preserve">I enskilda fall kan kyrkoherden kalla en sådan medlem av evangelisk-lutherska kyrkan som är konfirmerad och känd för sin kristna övertygelse att predika </w:t>
            </w:r>
            <w:r w:rsidRPr="00CA6F2A">
              <w:rPr>
                <w:i/>
              </w:rPr>
              <w:t>vid</w:t>
            </w:r>
            <w:r>
              <w:t xml:space="preserve"> gudstjänsten.</w:t>
            </w:r>
          </w:p>
        </w:tc>
        <w:tc>
          <w:tcPr>
            <w:tcW w:w="4981" w:type="dxa"/>
          </w:tcPr>
          <w:p w:rsidR="005C693C" w:rsidRPr="005C693C" w:rsidRDefault="005C693C" w:rsidP="005C693C">
            <w:pPr>
              <w:ind w:left="62" w:firstLine="46"/>
              <w:rPr>
                <w:iCs/>
              </w:rPr>
            </w:pPr>
            <w:r>
              <w:t>― ― ― ― ― ― ― ― ― ― ― ― ― ―</w:t>
            </w:r>
          </w:p>
          <w:p w:rsidR="005C693C" w:rsidRPr="005C693C" w:rsidRDefault="005C693C" w:rsidP="00CA6F2A">
            <w:pPr>
              <w:ind w:left="62" w:firstLine="46"/>
              <w:jc w:val="both"/>
              <w:rPr>
                <w:iCs/>
              </w:rPr>
            </w:pPr>
            <w:r>
              <w:t xml:space="preserve">I enskilda fall kan kyrkoherden kalla en sådan </w:t>
            </w:r>
            <w:r>
              <w:rPr>
                <w:i/>
              </w:rPr>
              <w:t>medlem av kyrkan som är konfirmerad och känd för sin kristna övertygelse eller en präst från någon annan kristen kyrka eller ett därmed jämställt samfund</w:t>
            </w:r>
            <w:r>
              <w:t xml:space="preserve"> att predika </w:t>
            </w:r>
            <w:r w:rsidR="00CA6F2A" w:rsidRPr="00CA6F2A">
              <w:rPr>
                <w:i/>
              </w:rPr>
              <w:t>i</w:t>
            </w:r>
            <w:r>
              <w:t xml:space="preserve"> gudstjänsten.</w:t>
            </w:r>
          </w:p>
        </w:tc>
      </w:tr>
    </w:tbl>
    <w:p w:rsidR="005C693C" w:rsidRPr="00755B3E" w:rsidRDefault="005C693C" w:rsidP="005C693C"/>
    <w:p w:rsidR="005C693C" w:rsidRPr="000D54BA" w:rsidRDefault="005C693C" w:rsidP="005C693C">
      <w:pPr>
        <w:rPr>
          <w:b/>
        </w:rPr>
      </w:pPr>
    </w:p>
    <w:p w:rsidR="00EA4C31" w:rsidRPr="004304E9" w:rsidRDefault="00EA4C31" w:rsidP="00EA4C31"/>
    <w:p w:rsidR="00C945A9" w:rsidRDefault="00C945A9" w:rsidP="00720E86">
      <w:pPr>
        <w:ind w:left="1304"/>
        <w:jc w:val="both"/>
      </w:pPr>
    </w:p>
    <w:sectPr w:rsidR="00C945A9" w:rsidSect="00FE4E93">
      <w:headerReference w:type="default" r:id="rId6"/>
      <w:pgSz w:w="11906" w:h="16838" w:code="9"/>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86" w:rsidRDefault="00D81186" w:rsidP="00225F77">
      <w:r>
        <w:separator/>
      </w:r>
    </w:p>
  </w:endnote>
  <w:endnote w:type="continuationSeparator" w:id="0">
    <w:p w:rsidR="00D81186" w:rsidRDefault="00D81186" w:rsidP="0022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86" w:rsidRDefault="00D81186" w:rsidP="00225F77">
      <w:r>
        <w:separator/>
      </w:r>
    </w:p>
  </w:footnote>
  <w:footnote w:type="continuationSeparator" w:id="0">
    <w:p w:rsidR="00D81186" w:rsidRDefault="00D81186" w:rsidP="0022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22" w:rsidRDefault="00E42822">
    <w:pPr>
      <w:pStyle w:val="Yltunniste"/>
      <w:jc w:val="right"/>
    </w:pPr>
    <w:r>
      <w:fldChar w:fldCharType="begin"/>
    </w:r>
    <w:r>
      <w:instrText xml:space="preserve"> PAGE   \* MERGEFORMAT </w:instrText>
    </w:r>
    <w:r>
      <w:fldChar w:fldCharType="separate"/>
    </w:r>
    <w:r w:rsidR="00EB67A4">
      <w:rPr>
        <w:noProof/>
      </w:rPr>
      <w:t>5</w:t>
    </w:r>
    <w:r>
      <w:fldChar w:fldCharType="end"/>
    </w:r>
  </w:p>
  <w:p w:rsidR="00E42822" w:rsidRDefault="00E4282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F2"/>
    <w:rsid w:val="0000259C"/>
    <w:rsid w:val="00006DFA"/>
    <w:rsid w:val="00021F88"/>
    <w:rsid w:val="0002525D"/>
    <w:rsid w:val="0004131C"/>
    <w:rsid w:val="00057BF6"/>
    <w:rsid w:val="00082177"/>
    <w:rsid w:val="000A14C6"/>
    <w:rsid w:val="000E22B9"/>
    <w:rsid w:val="000F5F1F"/>
    <w:rsid w:val="001111F9"/>
    <w:rsid w:val="001139AF"/>
    <w:rsid w:val="0013027F"/>
    <w:rsid w:val="0013084A"/>
    <w:rsid w:val="00131279"/>
    <w:rsid w:val="001401A0"/>
    <w:rsid w:val="00140CFA"/>
    <w:rsid w:val="0014327A"/>
    <w:rsid w:val="00162377"/>
    <w:rsid w:val="001754C5"/>
    <w:rsid w:val="001A21A6"/>
    <w:rsid w:val="001B5D97"/>
    <w:rsid w:val="001B69C3"/>
    <w:rsid w:val="001B74AD"/>
    <w:rsid w:val="001C01B8"/>
    <w:rsid w:val="001C1D27"/>
    <w:rsid w:val="001D67F6"/>
    <w:rsid w:val="001D6853"/>
    <w:rsid w:val="001E0BB7"/>
    <w:rsid w:val="001E21A0"/>
    <w:rsid w:val="002050F4"/>
    <w:rsid w:val="0021008B"/>
    <w:rsid w:val="00220548"/>
    <w:rsid w:val="00225F77"/>
    <w:rsid w:val="00235FD3"/>
    <w:rsid w:val="00256165"/>
    <w:rsid w:val="00257FBF"/>
    <w:rsid w:val="0026010B"/>
    <w:rsid w:val="002624DF"/>
    <w:rsid w:val="00263635"/>
    <w:rsid w:val="002748FE"/>
    <w:rsid w:val="00286805"/>
    <w:rsid w:val="002A0F42"/>
    <w:rsid w:val="002A1207"/>
    <w:rsid w:val="002A21C9"/>
    <w:rsid w:val="002A3807"/>
    <w:rsid w:val="002B5ED7"/>
    <w:rsid w:val="002C0B86"/>
    <w:rsid w:val="002C385D"/>
    <w:rsid w:val="002D67EB"/>
    <w:rsid w:val="002D79E3"/>
    <w:rsid w:val="002F0ABD"/>
    <w:rsid w:val="002F2BB5"/>
    <w:rsid w:val="0030511D"/>
    <w:rsid w:val="003147C1"/>
    <w:rsid w:val="00331396"/>
    <w:rsid w:val="00332005"/>
    <w:rsid w:val="0033733F"/>
    <w:rsid w:val="0034747E"/>
    <w:rsid w:val="00362D9F"/>
    <w:rsid w:val="00365413"/>
    <w:rsid w:val="0037716C"/>
    <w:rsid w:val="00393D16"/>
    <w:rsid w:val="003D3371"/>
    <w:rsid w:val="003E0585"/>
    <w:rsid w:val="003E382B"/>
    <w:rsid w:val="003F05F8"/>
    <w:rsid w:val="003F7A44"/>
    <w:rsid w:val="00413FA4"/>
    <w:rsid w:val="004225DF"/>
    <w:rsid w:val="00436238"/>
    <w:rsid w:val="00436467"/>
    <w:rsid w:val="0044074D"/>
    <w:rsid w:val="00460086"/>
    <w:rsid w:val="00466E7F"/>
    <w:rsid w:val="00470F8A"/>
    <w:rsid w:val="0048158B"/>
    <w:rsid w:val="004A1DF7"/>
    <w:rsid w:val="004C142E"/>
    <w:rsid w:val="004E6A5B"/>
    <w:rsid w:val="004F2A31"/>
    <w:rsid w:val="004F4399"/>
    <w:rsid w:val="0050283D"/>
    <w:rsid w:val="005055C2"/>
    <w:rsid w:val="005059E3"/>
    <w:rsid w:val="00540EAB"/>
    <w:rsid w:val="0059317B"/>
    <w:rsid w:val="005A012C"/>
    <w:rsid w:val="005C693C"/>
    <w:rsid w:val="005E243D"/>
    <w:rsid w:val="00616911"/>
    <w:rsid w:val="00632D00"/>
    <w:rsid w:val="006524F2"/>
    <w:rsid w:val="00653BB7"/>
    <w:rsid w:val="0069438A"/>
    <w:rsid w:val="006A5023"/>
    <w:rsid w:val="006D67D5"/>
    <w:rsid w:val="006D6E2F"/>
    <w:rsid w:val="006E068D"/>
    <w:rsid w:val="006E4019"/>
    <w:rsid w:val="007015DC"/>
    <w:rsid w:val="00720E86"/>
    <w:rsid w:val="00747D77"/>
    <w:rsid w:val="00754B10"/>
    <w:rsid w:val="007819FA"/>
    <w:rsid w:val="00794A02"/>
    <w:rsid w:val="0079641E"/>
    <w:rsid w:val="007C353A"/>
    <w:rsid w:val="007D2371"/>
    <w:rsid w:val="007F374B"/>
    <w:rsid w:val="00810AC7"/>
    <w:rsid w:val="00813A0B"/>
    <w:rsid w:val="00816891"/>
    <w:rsid w:val="00816B76"/>
    <w:rsid w:val="00823119"/>
    <w:rsid w:val="00832E46"/>
    <w:rsid w:val="00833B80"/>
    <w:rsid w:val="008515AC"/>
    <w:rsid w:val="00860785"/>
    <w:rsid w:val="0087449D"/>
    <w:rsid w:val="00875F95"/>
    <w:rsid w:val="008773A8"/>
    <w:rsid w:val="00884E60"/>
    <w:rsid w:val="008931DD"/>
    <w:rsid w:val="008A79AE"/>
    <w:rsid w:val="008B041A"/>
    <w:rsid w:val="008B5002"/>
    <w:rsid w:val="008B68FD"/>
    <w:rsid w:val="008F3170"/>
    <w:rsid w:val="00911101"/>
    <w:rsid w:val="00915B18"/>
    <w:rsid w:val="009421EE"/>
    <w:rsid w:val="009556EF"/>
    <w:rsid w:val="00956CD0"/>
    <w:rsid w:val="00974976"/>
    <w:rsid w:val="009831A3"/>
    <w:rsid w:val="00984E04"/>
    <w:rsid w:val="00997E20"/>
    <w:rsid w:val="009A53D4"/>
    <w:rsid w:val="009B63AE"/>
    <w:rsid w:val="009B65FC"/>
    <w:rsid w:val="009B6FE1"/>
    <w:rsid w:val="009B722B"/>
    <w:rsid w:val="009C3E0B"/>
    <w:rsid w:val="009C4C84"/>
    <w:rsid w:val="009E1D83"/>
    <w:rsid w:val="009F1443"/>
    <w:rsid w:val="009F6817"/>
    <w:rsid w:val="009F76BD"/>
    <w:rsid w:val="00A1783E"/>
    <w:rsid w:val="00A213F5"/>
    <w:rsid w:val="00A218AE"/>
    <w:rsid w:val="00A27570"/>
    <w:rsid w:val="00A33815"/>
    <w:rsid w:val="00A35E35"/>
    <w:rsid w:val="00A76340"/>
    <w:rsid w:val="00A916FC"/>
    <w:rsid w:val="00A94786"/>
    <w:rsid w:val="00AA31EC"/>
    <w:rsid w:val="00AD05D2"/>
    <w:rsid w:val="00AD3D70"/>
    <w:rsid w:val="00AE1C65"/>
    <w:rsid w:val="00AE38F5"/>
    <w:rsid w:val="00AF78A4"/>
    <w:rsid w:val="00B015CC"/>
    <w:rsid w:val="00B03B75"/>
    <w:rsid w:val="00B0759D"/>
    <w:rsid w:val="00B108BA"/>
    <w:rsid w:val="00B50A0D"/>
    <w:rsid w:val="00B6794C"/>
    <w:rsid w:val="00B73CE8"/>
    <w:rsid w:val="00B96F96"/>
    <w:rsid w:val="00BA4FC2"/>
    <w:rsid w:val="00BB7168"/>
    <w:rsid w:val="00BB7FE9"/>
    <w:rsid w:val="00BE16D4"/>
    <w:rsid w:val="00C02BF8"/>
    <w:rsid w:val="00C04483"/>
    <w:rsid w:val="00C35385"/>
    <w:rsid w:val="00C42EAB"/>
    <w:rsid w:val="00C87EA0"/>
    <w:rsid w:val="00C945A9"/>
    <w:rsid w:val="00CA047A"/>
    <w:rsid w:val="00CA6F2A"/>
    <w:rsid w:val="00CA7365"/>
    <w:rsid w:val="00CA7B69"/>
    <w:rsid w:val="00CC2FC6"/>
    <w:rsid w:val="00CD6FD1"/>
    <w:rsid w:val="00CF3ED4"/>
    <w:rsid w:val="00CF58B9"/>
    <w:rsid w:val="00D16BFF"/>
    <w:rsid w:val="00D3445A"/>
    <w:rsid w:val="00D4012E"/>
    <w:rsid w:val="00D4426D"/>
    <w:rsid w:val="00D53CCD"/>
    <w:rsid w:val="00D81186"/>
    <w:rsid w:val="00D85AD8"/>
    <w:rsid w:val="00D86EEE"/>
    <w:rsid w:val="00D91B75"/>
    <w:rsid w:val="00DA1A96"/>
    <w:rsid w:val="00DA452F"/>
    <w:rsid w:val="00DB7609"/>
    <w:rsid w:val="00DC7811"/>
    <w:rsid w:val="00DD5698"/>
    <w:rsid w:val="00DF30FC"/>
    <w:rsid w:val="00E02098"/>
    <w:rsid w:val="00E074A0"/>
    <w:rsid w:val="00E07CCF"/>
    <w:rsid w:val="00E115E0"/>
    <w:rsid w:val="00E13574"/>
    <w:rsid w:val="00E244E7"/>
    <w:rsid w:val="00E27AEB"/>
    <w:rsid w:val="00E325C9"/>
    <w:rsid w:val="00E37C8F"/>
    <w:rsid w:val="00E4081D"/>
    <w:rsid w:val="00E42822"/>
    <w:rsid w:val="00E57BCF"/>
    <w:rsid w:val="00E67A45"/>
    <w:rsid w:val="00E71380"/>
    <w:rsid w:val="00E74FB5"/>
    <w:rsid w:val="00E86BD3"/>
    <w:rsid w:val="00EA4C31"/>
    <w:rsid w:val="00EA7D10"/>
    <w:rsid w:val="00EB2EF9"/>
    <w:rsid w:val="00EB5855"/>
    <w:rsid w:val="00EB67A4"/>
    <w:rsid w:val="00EC25A0"/>
    <w:rsid w:val="00EC61B7"/>
    <w:rsid w:val="00EC791A"/>
    <w:rsid w:val="00EF4EB1"/>
    <w:rsid w:val="00F01213"/>
    <w:rsid w:val="00F01900"/>
    <w:rsid w:val="00F10105"/>
    <w:rsid w:val="00F10816"/>
    <w:rsid w:val="00F1229C"/>
    <w:rsid w:val="00F15817"/>
    <w:rsid w:val="00F430D8"/>
    <w:rsid w:val="00F5376C"/>
    <w:rsid w:val="00F6603E"/>
    <w:rsid w:val="00F80D67"/>
    <w:rsid w:val="00F84C7C"/>
    <w:rsid w:val="00F90649"/>
    <w:rsid w:val="00FB56B6"/>
    <w:rsid w:val="00FD01E6"/>
    <w:rsid w:val="00FD0411"/>
    <w:rsid w:val="00FE1F7A"/>
    <w:rsid w:val="00FE4E93"/>
    <w:rsid w:val="00FE6079"/>
    <w:rsid w:val="00FE6DC2"/>
    <w:rsid w:val="00FF60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27BD7-B421-44CC-8F16-34F79D20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A5B"/>
    <w:rPr>
      <w:sz w:val="24"/>
      <w:szCs w:val="24"/>
    </w:rPr>
  </w:style>
  <w:style w:type="paragraph" w:styleId="Otsikko1">
    <w:name w:val="heading 1"/>
    <w:basedOn w:val="Normaali"/>
    <w:next w:val="Normaali"/>
    <w:qFormat/>
    <w:pPr>
      <w:keepNext/>
      <w:spacing w:before="240" w:after="60"/>
      <w:outlineLvl w:val="0"/>
    </w:pPr>
    <w:rPr>
      <w:rFonts w:ascii="Arial" w:hAnsi="Arial"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pPr>
      <w:tabs>
        <w:tab w:val="center" w:pos="4819"/>
        <w:tab w:val="right" w:pos="9638"/>
      </w:tabs>
    </w:pPr>
  </w:style>
  <w:style w:type="paragraph" w:customStyle="1" w:styleId="sisennys1">
    <w:name w:val="sisennys 1"/>
    <w:basedOn w:val="Normaali"/>
    <w:next w:val="Normaali"/>
    <w:pPr>
      <w:ind w:left="1304" w:firstLine="567"/>
    </w:pPr>
  </w:style>
  <w:style w:type="paragraph" w:customStyle="1" w:styleId="sisennys2">
    <w:name w:val="sisennys 2"/>
    <w:basedOn w:val="Normaali"/>
    <w:next w:val="Normaali"/>
    <w:pPr>
      <w:ind w:left="1871" w:firstLine="567"/>
    </w:pPr>
    <w:rPr>
      <w:iCs/>
    </w:rPr>
  </w:style>
  <w:style w:type="paragraph" w:customStyle="1" w:styleId="Edustaja-aloite">
    <w:name w:val="Edustaja-aloite"/>
    <w:basedOn w:val="Otsikko1"/>
    <w:next w:val="Normaali"/>
    <w:pPr>
      <w:spacing w:before="0" w:after="0"/>
    </w:pPr>
    <w:rPr>
      <w:rFonts w:ascii="Times New Roman" w:hAnsi="Times New Roman" w:cs="Times New Roman"/>
      <w:kern w:val="0"/>
      <w:sz w:val="24"/>
      <w:szCs w:val="24"/>
    </w:rPr>
  </w:style>
  <w:style w:type="paragraph" w:customStyle="1" w:styleId="ohjelma-otsikko">
    <w:name w:val="ohjelma-otsikko"/>
    <w:basedOn w:val="Normaali"/>
    <w:next w:val="Normaali"/>
    <w:rPr>
      <w:b/>
    </w:rPr>
  </w:style>
  <w:style w:type="paragraph" w:customStyle="1" w:styleId="ohjelma-alaotsikko">
    <w:name w:val="ohjelma-alaotsikko"/>
    <w:basedOn w:val="Normaali"/>
    <w:pPr>
      <w:ind w:left="567" w:hanging="567"/>
    </w:pPr>
    <w:rPr>
      <w:b/>
    </w:rPr>
  </w:style>
  <w:style w:type="paragraph" w:customStyle="1" w:styleId="ohjelma-sisennys">
    <w:name w:val="ohjelma-sisennys"/>
    <w:basedOn w:val="Normaali"/>
    <w:pPr>
      <w:ind w:left="1134" w:hanging="567"/>
    </w:pPr>
  </w:style>
  <w:style w:type="paragraph" w:customStyle="1" w:styleId="Ksiteltvtasiat">
    <w:name w:val="Käsiteltävät asiat"/>
    <w:basedOn w:val="Normaali"/>
    <w:rPr>
      <w:b/>
    </w:rPr>
  </w:style>
  <w:style w:type="paragraph" w:customStyle="1" w:styleId="Ksiteltvtasiatsuomeksi">
    <w:name w:val="Käsiteltävät asiat suomeksi"/>
    <w:basedOn w:val="Normaali"/>
    <w:pPr>
      <w:ind w:left="567" w:hanging="567"/>
    </w:pPr>
  </w:style>
  <w:style w:type="paragraph" w:customStyle="1" w:styleId="Ksiteltvtasiatruotsi">
    <w:name w:val="Käsiteltävät asiat ruotsi"/>
    <w:basedOn w:val="Normaali"/>
    <w:pPr>
      <w:ind w:left="567" w:firstLine="567"/>
    </w:pPr>
  </w:style>
  <w:style w:type="paragraph" w:customStyle="1" w:styleId="Pivjrjestys">
    <w:name w:val="Päiväjärjestys"/>
    <w:basedOn w:val="Normaali"/>
    <w:pPr>
      <w:ind w:left="737" w:hanging="737"/>
    </w:pPr>
    <w:rPr>
      <w:rFonts w:ascii="Courier New" w:hAnsi="Courier New" w:cs="Courier New"/>
      <w:b/>
    </w:rPr>
  </w:style>
  <w:style w:type="paragraph" w:customStyle="1" w:styleId="Pivjrjestys-otsikko">
    <w:name w:val="Päiväjärjestys-otsikko"/>
    <w:basedOn w:val="Normaali"/>
    <w:pPr>
      <w:ind w:left="737" w:hanging="737"/>
    </w:pPr>
    <w:rPr>
      <w:rFonts w:ascii="Courier New" w:hAnsi="Courier New" w:cs="Courier New"/>
      <w:b/>
    </w:rPr>
  </w:style>
  <w:style w:type="paragraph" w:customStyle="1" w:styleId="Paivajrjestys-suomi">
    <w:name w:val="Paivajärjestys-suomi"/>
    <w:basedOn w:val="Normaali"/>
    <w:pPr>
      <w:ind w:left="737" w:hanging="737"/>
    </w:pPr>
    <w:rPr>
      <w:rFonts w:ascii="Courier New" w:hAnsi="Courier New" w:cs="Courier New"/>
    </w:rPr>
  </w:style>
  <w:style w:type="paragraph" w:customStyle="1" w:styleId="Paivajrjestys-ruotsi">
    <w:name w:val="Paivajärjestys-ruotsi"/>
    <w:basedOn w:val="Normaali"/>
    <w:pPr>
      <w:ind w:left="1871" w:hanging="567"/>
    </w:pPr>
    <w:rPr>
      <w:rFonts w:ascii="Courier New" w:hAnsi="Courier New" w:cs="Courier New"/>
    </w:rPr>
  </w:style>
  <w:style w:type="paragraph" w:customStyle="1" w:styleId="Saadoskokoelma-otsikko">
    <w:name w:val="Saadoskokoelma-otsikko"/>
    <w:basedOn w:val="Normaali"/>
    <w:pPr>
      <w:jc w:val="center"/>
    </w:pPr>
    <w:rPr>
      <w:b/>
      <w:sz w:val="30"/>
    </w:rPr>
  </w:style>
  <w:style w:type="paragraph" w:customStyle="1" w:styleId="Saadoskokoelma-valiotsikko">
    <w:name w:val="Saadoskokoelma-valiotsikko"/>
    <w:basedOn w:val="Normaali"/>
    <w:pPr>
      <w:jc w:val="center"/>
    </w:pPr>
    <w:rPr>
      <w:b/>
      <w:sz w:val="28"/>
    </w:rPr>
  </w:style>
  <w:style w:type="paragraph" w:customStyle="1" w:styleId="Sopimussaksa">
    <w:name w:val="Sopimus saksa"/>
    <w:basedOn w:val="Normaali"/>
    <w:pPr>
      <w:jc w:val="both"/>
    </w:pPr>
    <w:rPr>
      <w:sz w:val="22"/>
    </w:rPr>
  </w:style>
  <w:style w:type="paragraph" w:customStyle="1" w:styleId="SopimusSuomi">
    <w:name w:val="Sopimus Suomi"/>
    <w:basedOn w:val="Normaali"/>
    <w:pPr>
      <w:jc w:val="both"/>
    </w:pPr>
    <w:rPr>
      <w:sz w:val="22"/>
    </w:rPr>
  </w:style>
  <w:style w:type="paragraph" w:customStyle="1" w:styleId="Sopimussaksa-sisennys">
    <w:name w:val="Sopimus saksa-sisennys"/>
    <w:basedOn w:val="Sopimussaksa"/>
    <w:pPr>
      <w:tabs>
        <w:tab w:val="left" w:pos="340"/>
      </w:tabs>
      <w:ind w:left="340" w:hanging="340"/>
    </w:pPr>
  </w:style>
  <w:style w:type="paragraph" w:customStyle="1" w:styleId="SopimusSuomi-sisennys">
    <w:name w:val="Sopimus Suomi-sisennys"/>
    <w:basedOn w:val="SopimusSuomi"/>
    <w:pPr>
      <w:tabs>
        <w:tab w:val="left" w:pos="340"/>
      </w:tabs>
      <w:ind w:left="340" w:hanging="340"/>
    </w:pPr>
  </w:style>
  <w:style w:type="paragraph" w:customStyle="1" w:styleId="SopimusRuotsi">
    <w:name w:val="Sopimus Ruotsi"/>
    <w:basedOn w:val="SopimusSuomi"/>
    <w:rPr>
      <w:szCs w:val="28"/>
    </w:rPr>
  </w:style>
  <w:style w:type="paragraph" w:customStyle="1" w:styleId="SopimusRuotsi-sisennys">
    <w:name w:val="Sopimus Ruotsi-sisennys"/>
    <w:basedOn w:val="SopimusRuotsi"/>
    <w:pPr>
      <w:tabs>
        <w:tab w:val="left" w:pos="340"/>
      </w:tabs>
      <w:ind w:left="340" w:hanging="340"/>
    </w:pPr>
  </w:style>
  <w:style w:type="paragraph" w:customStyle="1" w:styleId="Valilehti">
    <w:name w:val="Valilehti"/>
    <w:basedOn w:val="Normaali"/>
    <w:pPr>
      <w:jc w:val="center"/>
    </w:pPr>
    <w:rPr>
      <w:b/>
      <w:sz w:val="28"/>
    </w:rPr>
  </w:style>
  <w:style w:type="paragraph" w:customStyle="1" w:styleId="Valilehtisisennys">
    <w:name w:val="Valilehti sisennys"/>
    <w:basedOn w:val="Normaali"/>
    <w:pPr>
      <w:ind w:left="2608" w:hanging="1304"/>
    </w:pPr>
    <w:rPr>
      <w:b/>
      <w:sz w:val="28"/>
    </w:rPr>
  </w:style>
  <w:style w:type="paragraph" w:customStyle="1" w:styleId="Mietint-Potsikko">
    <w:name w:val="Mietintö-Pääotsikko"/>
    <w:basedOn w:val="Normaali"/>
    <w:rPr>
      <w:b/>
    </w:rPr>
  </w:style>
  <w:style w:type="paragraph" w:customStyle="1" w:styleId="Mietint-Alaotsikko">
    <w:name w:val="Mietintö-Alaotsikko"/>
    <w:basedOn w:val="Normaali"/>
    <w:rPr>
      <w:b/>
    </w:rPr>
  </w:style>
  <w:style w:type="paragraph" w:customStyle="1" w:styleId="Mietint-Apuotsikko">
    <w:name w:val="Mietintö-Apuotsikko"/>
    <w:basedOn w:val="Normaali"/>
    <w:pPr>
      <w:ind w:left="1304"/>
    </w:pPr>
    <w:rPr>
      <w:b/>
    </w:rPr>
  </w:style>
  <w:style w:type="paragraph" w:styleId="Sisennettyleipteksti">
    <w:name w:val="Body Text Indent"/>
    <w:basedOn w:val="Normaali"/>
    <w:pPr>
      <w:ind w:left="3912"/>
    </w:pPr>
    <w:rPr>
      <w:b/>
      <w:bCs/>
    </w:rPr>
  </w:style>
  <w:style w:type="paragraph" w:styleId="Yltunniste">
    <w:name w:val="header"/>
    <w:basedOn w:val="Normaali"/>
    <w:link w:val="YltunnisteChar"/>
    <w:uiPriority w:val="99"/>
    <w:rsid w:val="00225F77"/>
    <w:pPr>
      <w:tabs>
        <w:tab w:val="center" w:pos="4513"/>
        <w:tab w:val="right" w:pos="9026"/>
      </w:tabs>
    </w:pPr>
  </w:style>
  <w:style w:type="character" w:customStyle="1" w:styleId="YltunnisteChar">
    <w:name w:val="Ylätunniste Char"/>
    <w:basedOn w:val="Kappaleenoletusfontti"/>
    <w:link w:val="Yltunniste"/>
    <w:uiPriority w:val="99"/>
    <w:rsid w:val="00225F77"/>
    <w:rPr>
      <w:sz w:val="24"/>
      <w:szCs w:val="24"/>
    </w:rPr>
  </w:style>
  <w:style w:type="paragraph" w:styleId="Seliteteksti">
    <w:name w:val="Balloon Text"/>
    <w:basedOn w:val="Normaali"/>
    <w:link w:val="SelitetekstiChar"/>
    <w:rsid w:val="0033733F"/>
    <w:rPr>
      <w:rFonts w:ascii="Tahoma" w:hAnsi="Tahoma" w:cs="Tahoma"/>
      <w:sz w:val="16"/>
      <w:szCs w:val="16"/>
    </w:rPr>
  </w:style>
  <w:style w:type="character" w:customStyle="1" w:styleId="SelitetekstiChar">
    <w:name w:val="Seliteteksti Char"/>
    <w:basedOn w:val="Kappaleenoletusfontti"/>
    <w:link w:val="Seliteteksti"/>
    <w:rsid w:val="0033733F"/>
    <w:rPr>
      <w:rFonts w:ascii="Tahoma" w:hAnsi="Tahoma" w:cs="Tahoma"/>
      <w:sz w:val="16"/>
      <w:szCs w:val="16"/>
      <w:lang w:val="sv-SE" w:eastAsia="fi-FI"/>
    </w:rPr>
  </w:style>
  <w:style w:type="table" w:styleId="TaulukkoRuudukko">
    <w:name w:val="Table Grid"/>
    <w:basedOn w:val="Normaalitaulukko"/>
    <w:uiPriority w:val="39"/>
    <w:rsid w:val="00EA4C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iakirjanrakenneruutu">
    <w:name w:val="Document Map"/>
    <w:basedOn w:val="Normaali"/>
    <w:link w:val="AsiakirjanrakenneruutuChar"/>
    <w:rsid w:val="00A1783E"/>
    <w:rPr>
      <w:rFonts w:ascii="Tahoma" w:hAnsi="Tahoma" w:cs="Tahoma"/>
      <w:sz w:val="16"/>
      <w:szCs w:val="16"/>
    </w:rPr>
  </w:style>
  <w:style w:type="character" w:customStyle="1" w:styleId="AsiakirjanrakenneruutuChar">
    <w:name w:val="Asiakirjan rakenneruutu Char"/>
    <w:basedOn w:val="Kappaleenoletusfontti"/>
    <w:link w:val="Asiakirjanrakenneruutu"/>
    <w:rsid w:val="00A17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mari%20Karimies\AppData\Roaming\Microsoft\Templates\Mietint&#246;%20perus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Mietintö peruspohja</Template>
  <TotalTime>1</TotalTime>
  <Pages>6</Pages>
  <Words>2016</Words>
  <Characters>11928</Characters>
  <Application>Microsoft Office Word</Application>
  <DocSecurity>4</DocSecurity>
  <Lines>99</Lines>
  <Paragraphs>27</Paragraphs>
  <ScaleCrop>false</ScaleCrop>
  <HeadingPairs>
    <vt:vector size="2" baseType="variant">
      <vt:variant>
        <vt:lpstr>Otsikko</vt:lpstr>
      </vt:variant>
      <vt:variant>
        <vt:i4>1</vt:i4>
      </vt:variant>
    </vt:vector>
  </HeadingPairs>
  <TitlesOfParts>
    <vt:vector size="1" baseType="lpstr">
      <vt:lpstr>Yleisvaliokunnan mietintö X/200X hiippakuntakokousesityksestä X/200X, joka koskee ………</vt:lpstr>
    </vt:vector>
  </TitlesOfParts>
  <Company>Kirkkohallitus</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Yleisvaliokunnan mietintö X/200X hiippakuntakokousesityksestä X/200X, joka koskee ………</dc:title>
  <dc:subject/>
  <dc:creator>Ilmari Karimies</dc:creator>
  <cp:keywords/>
  <cp:lastModifiedBy>Aarnio-Jääskeläinen Liisa</cp:lastModifiedBy>
  <cp:revision>2</cp:revision>
  <cp:lastPrinted>2017-03-29T12:06:00Z</cp:lastPrinted>
  <dcterms:created xsi:type="dcterms:W3CDTF">2017-03-29T12:25:00Z</dcterms:created>
  <dcterms:modified xsi:type="dcterms:W3CDTF">2017-03-29T12:25:00Z</dcterms:modified>
</cp:coreProperties>
</file>